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58" w:rsidRPr="008B6A19" w:rsidRDefault="00667C33" w:rsidP="0055175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highlight w:val="green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22</w:t>
      </w:r>
      <w:r w:rsidR="00551758">
        <w:rPr>
          <w:rFonts w:ascii="Times New Roman" w:eastAsia="Times New Roman" w:hAnsi="Times New Roman"/>
          <w:b/>
          <w:sz w:val="24"/>
          <w:szCs w:val="24"/>
          <w:lang w:eastAsia="hu-HU"/>
        </w:rPr>
        <w:t>/2020</w:t>
      </w:r>
      <w:r w:rsidR="00551758"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II</w:t>
      </w:r>
      <w:r w:rsidR="00551758"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14.</w:t>
      </w:r>
      <w:r w:rsidR="00551758"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) számú önkormányzati határozat melléklete </w:t>
      </w:r>
    </w:p>
    <w:p w:rsidR="00551758" w:rsidRPr="008B6A19" w:rsidRDefault="00551758" w:rsidP="0055175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51758" w:rsidRDefault="00551758" w:rsidP="005517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hu-HU"/>
        </w:rPr>
      </w:pPr>
      <w:r w:rsidRPr="008B6A19">
        <w:rPr>
          <w:rFonts w:ascii="Times New Roman" w:eastAsia="Times New Roman" w:hAnsi="Times New Roman"/>
          <w:b/>
          <w:sz w:val="28"/>
          <w:szCs w:val="28"/>
          <w:u w:val="single"/>
          <w:lang w:eastAsia="hu-HU"/>
        </w:rPr>
        <w:t xml:space="preserve">Árverési hirdetmény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hu-HU"/>
        </w:rPr>
        <w:t>I.</w:t>
      </w:r>
    </w:p>
    <w:p w:rsidR="00551758" w:rsidRPr="008B6A19" w:rsidRDefault="00551758" w:rsidP="005517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Százhalombatta Város Önkormányzata</w:t>
      </w:r>
    </w:p>
    <w:p w:rsidR="00551758" w:rsidRPr="008B6A19" w:rsidRDefault="00551758" w:rsidP="00551758">
      <w:pPr>
        <w:tabs>
          <w:tab w:val="center" w:pos="4536"/>
          <w:tab w:val="left" w:pos="600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Képviselő-testülete</w:t>
      </w:r>
    </w:p>
    <w:p w:rsidR="00551758" w:rsidRPr="008B6A19" w:rsidRDefault="00551758" w:rsidP="005517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árverésen kívánja értékesíteni az Önkormányzat tulajdonában lévő</w:t>
      </w:r>
    </w:p>
    <w:p w:rsidR="00551758" w:rsidRPr="008B6A19" w:rsidRDefault="00551758" w:rsidP="005517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Százhalombatta,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belterületi 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Vörösmarty M. u. 15. szám alatti, 1959/1 hrsz-ú, </w:t>
      </w:r>
    </w:p>
    <w:p w:rsidR="00551758" w:rsidRPr="008B6A19" w:rsidRDefault="00551758" w:rsidP="005517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709 m² területű, kivett beépítetlen terület megnevezésű 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ingatlan tulajdonjogát </w:t>
      </w:r>
    </w:p>
    <w:p w:rsidR="00551758" w:rsidRPr="008B6A19" w:rsidRDefault="00551758" w:rsidP="005517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építési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célra </w:t>
      </w:r>
    </w:p>
    <w:p w:rsidR="00551758" w:rsidRPr="008B6A19" w:rsidRDefault="00551758" w:rsidP="005517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51758" w:rsidRPr="008B6A19" w:rsidRDefault="00551758" w:rsidP="00551758">
      <w:pPr>
        <w:tabs>
          <w:tab w:val="left" w:pos="32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1.)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Az árverés vezetője: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Geszti Gabriella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vagyongazdálkodási munkatárs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2.) Á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rverés helye: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Százhalombattai Polgármesteri Hivatal,  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Százhalombatta, Szent István tér 3. 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    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Az árverés ideje: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2020. április 07., 10:00 óra</w:t>
      </w:r>
    </w:p>
    <w:p w:rsidR="00551758" w:rsidRPr="008B6A19" w:rsidRDefault="00551758" w:rsidP="00551758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3.) 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Árverésre kerülő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ingatlan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kikiáltási ára: bruttó </w:t>
      </w:r>
      <w:r w:rsidR="00667C3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17.000.000 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Ft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51758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Az Önkormányzat az ingatlant 4 éven belüli beépítési kötelezettséggel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lakóingatlan, valamint az ingatlan fekvése szerinti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Lke-O-Út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jelű lakóövezeti besorolás szerinti épület vagy épületek építése céljából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értékesíti. </w:t>
      </w:r>
    </w:p>
    <w:p w:rsidR="00551758" w:rsidRDefault="00551758" w:rsidP="00551758">
      <w:pPr>
        <w:tabs>
          <w:tab w:val="left" w:pos="3660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51758" w:rsidRDefault="00551758" w:rsidP="00551758">
      <w:pPr>
        <w:tabs>
          <w:tab w:val="left" w:pos="3660"/>
        </w:tabs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Az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Lke-O-Út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jelű lakóövezetben</w:t>
      </w:r>
      <w:r w:rsidRPr="002F22E5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kialakítható beépítés paramétereit és a kialakítható legkisebb építési telek méretét az alábbi táblázat előírásait betartva kell meghatározni.</w:t>
      </w:r>
    </w:p>
    <w:p w:rsidR="00551758" w:rsidRPr="00583C2F" w:rsidRDefault="00551758" w:rsidP="00551758">
      <w:pPr>
        <w:tabs>
          <w:tab w:val="left" w:pos="3660"/>
        </w:tabs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985"/>
        <w:gridCol w:w="1417"/>
        <w:gridCol w:w="2126"/>
      </w:tblGrid>
      <w:tr w:rsidR="00551758" w:rsidRPr="002F22E5" w:rsidTr="00A74061">
        <w:trPr>
          <w:cantSplit/>
        </w:trPr>
        <w:tc>
          <w:tcPr>
            <w:tcW w:w="1913" w:type="dxa"/>
          </w:tcPr>
          <w:p w:rsidR="00551758" w:rsidRPr="002F22E5" w:rsidRDefault="00551758" w:rsidP="00A74061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iCs/>
                <w:sz w:val="24"/>
                <w:szCs w:val="20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0"/>
                <w:lang w:eastAsia="hu-HU"/>
              </w:rPr>
              <w:t>Beépítési mód</w:t>
            </w:r>
          </w:p>
        </w:tc>
        <w:tc>
          <w:tcPr>
            <w:tcW w:w="1701" w:type="dxa"/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Az építési telek</w:t>
            </w:r>
          </w:p>
        </w:tc>
        <w:tc>
          <w:tcPr>
            <w:tcW w:w="5528" w:type="dxa"/>
            <w:gridSpan w:val="3"/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A beépítésnél alkalmazható</w:t>
            </w:r>
          </w:p>
        </w:tc>
      </w:tr>
      <w:tr w:rsidR="00551758" w:rsidRPr="002F22E5" w:rsidTr="00A74061">
        <w:trPr>
          <w:cantSplit/>
        </w:trPr>
        <w:tc>
          <w:tcPr>
            <w:tcW w:w="1913" w:type="dxa"/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legkisebb</w:t>
            </w:r>
          </w:p>
        </w:tc>
        <w:tc>
          <w:tcPr>
            <w:tcW w:w="1985" w:type="dxa"/>
            <w:tcBorders>
              <w:top w:val="nil"/>
            </w:tcBorders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legkisebb</w:t>
            </w:r>
          </w:p>
        </w:tc>
        <w:tc>
          <w:tcPr>
            <w:tcW w:w="3543" w:type="dxa"/>
            <w:gridSpan w:val="2"/>
            <w:tcBorders>
              <w:top w:val="nil"/>
            </w:tcBorders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legnagyobb</w:t>
            </w:r>
          </w:p>
        </w:tc>
      </w:tr>
      <w:tr w:rsidR="00551758" w:rsidRPr="002F22E5" w:rsidTr="00A74061">
        <w:trPr>
          <w:cantSplit/>
        </w:trPr>
        <w:tc>
          <w:tcPr>
            <w:tcW w:w="1913" w:type="dxa"/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területe (m</w:t>
            </w: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vertAlign w:val="superscript"/>
                <w:lang w:eastAsia="hu-HU"/>
              </w:rPr>
              <w:t>2</w:t>
            </w: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zöldfelületi arány (%)</w:t>
            </w:r>
          </w:p>
        </w:tc>
        <w:tc>
          <w:tcPr>
            <w:tcW w:w="1417" w:type="dxa"/>
            <w:tcBorders>
              <w:top w:val="nil"/>
            </w:tcBorders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beépítettség (%)</w:t>
            </w:r>
          </w:p>
        </w:tc>
        <w:tc>
          <w:tcPr>
            <w:tcW w:w="2126" w:type="dxa"/>
            <w:tcBorders>
              <w:top w:val="nil"/>
            </w:tcBorders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épületmagasság (m)</w:t>
            </w:r>
          </w:p>
        </w:tc>
      </w:tr>
      <w:tr w:rsidR="00551758" w:rsidRPr="002F22E5" w:rsidTr="00A74061">
        <w:trPr>
          <w:cantSplit/>
        </w:trPr>
        <w:tc>
          <w:tcPr>
            <w:tcW w:w="1913" w:type="dxa"/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Oldalhatáron álló</w:t>
            </w:r>
            <w:r w:rsidRPr="002F22E5" w:rsidDel="00CE75CA"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hu-HU"/>
              </w:rPr>
              <w:t xml:space="preserve"> </w:t>
            </w:r>
          </w:p>
        </w:tc>
        <w:tc>
          <w:tcPr>
            <w:tcW w:w="1701" w:type="dxa"/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1985" w:type="dxa"/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50</w:t>
            </w:r>
          </w:p>
        </w:tc>
        <w:tc>
          <w:tcPr>
            <w:tcW w:w="1417" w:type="dxa"/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2126" w:type="dxa"/>
          </w:tcPr>
          <w:p w:rsidR="00551758" w:rsidRPr="002F22E5" w:rsidRDefault="00551758" w:rsidP="00A74061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2F22E5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6,0 (4,5)*</w:t>
            </w:r>
          </w:p>
        </w:tc>
      </w:tr>
    </w:tbl>
    <w:p w:rsidR="00551758" w:rsidRPr="002F22E5" w:rsidRDefault="00551758" w:rsidP="00551758">
      <w:pPr>
        <w:spacing w:before="120"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hu-HU"/>
        </w:rPr>
      </w:pPr>
      <w:r w:rsidRPr="002F22E5" w:rsidDel="00CE75CA">
        <w:rPr>
          <w:rFonts w:ascii="Times New Roman" w:eastAsia="Times New Roman" w:hAnsi="Times New Roman"/>
          <w:sz w:val="20"/>
          <w:szCs w:val="20"/>
          <w:lang w:eastAsia="hu-HU"/>
        </w:rPr>
        <w:t xml:space="preserve"> </w:t>
      </w:r>
      <w:r w:rsidRPr="002F22E5">
        <w:rPr>
          <w:rFonts w:ascii="Times New Roman" w:eastAsia="Times New Roman" w:hAnsi="Times New Roman"/>
          <w:sz w:val="20"/>
          <w:szCs w:val="20"/>
          <w:lang w:eastAsia="hu-HU"/>
        </w:rPr>
        <w:t>(4,5)* Oldalhatáros épület-elhelyezésnél a megengedett legnagyobb épületmagasság 4,5 méter.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beépítési 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kötelez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ettséget a vevő akkor teljesíti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ha az így felépített építmény a földhivatali nyilvántartásba bejegyzésre kerül. 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A beépítési kötelezettség teljesítéséig elidegenítési és terhelési tilalom terheli az ingatlant. Amennyiben a vevő az építési telekre vonatkozó beépítési kötelezettségét nem teljesíti, az adásvételi szerződés megszűnik (bontó feltétel).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E feltétel bekövetkezte esetén a volt tulajdonos elveszti a telken megszerzett tulajdonjogát, részére a vételár évi kettő százalékkal csökkentett összegét kell visszafizetni, de ez az összeg nem haladhatja meg a szerződés felbontásakor a hasonló építési telekért fizetendő vételárat. A szerződés megszűnése esetén a volt tulajdonos a tulajdonában álló vagyontárgyakat elviheti, az ültetvényt azonban a földtől nem választhatja el (a fákat, az egyéb telepített növényzetet 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stb. nem szedheti ki). Az el nem vitt vagyontárgyak térítésmentesen az önkormányzat tulajdonába kerülnek. 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4.) 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Az árverésen kizárólag az vehet részt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, vagy az adhat képviseleti meghatalmazást, akinek a nevére az árverési előleg letétbehelyezésre került, és győztessé nyilvánítása esetén az önkormányzat kizárólag vele köti meg az adásvételi szerződést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5.) Az árverésen az ajánlattevő az igazoló okiratok bemutatása után azonosító számot kap, és anonim marad.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</w:p>
    <w:p w:rsidR="00551758" w:rsidRPr="00053DE0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6.) A licitlépcső emelkedésének mértéke: </w:t>
      </w:r>
      <w:r w:rsidRPr="00986E73">
        <w:rPr>
          <w:rFonts w:ascii="Times New Roman" w:eastAsia="Times New Roman" w:hAnsi="Times New Roman"/>
          <w:b/>
          <w:sz w:val="24"/>
          <w:szCs w:val="24"/>
          <w:lang w:eastAsia="hu-HU"/>
        </w:rPr>
        <w:t>bruttó 50.000 Ft.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19">
        <w:rPr>
          <w:rFonts w:ascii="Times New Roman" w:hAnsi="Times New Roman"/>
          <w:sz w:val="24"/>
          <w:szCs w:val="24"/>
        </w:rPr>
        <w:t>7.)</w:t>
      </w:r>
      <w:r w:rsidRPr="008B6A19">
        <w:rPr>
          <w:rFonts w:ascii="Times New Roman" w:hAnsi="Times New Roman"/>
          <w:b/>
          <w:sz w:val="24"/>
          <w:szCs w:val="24"/>
        </w:rPr>
        <w:t xml:space="preserve"> </w:t>
      </w:r>
      <w:r w:rsidRPr="008B6A19">
        <w:rPr>
          <w:rFonts w:ascii="Times New Roman" w:hAnsi="Times New Roman"/>
          <w:sz w:val="24"/>
          <w:szCs w:val="24"/>
        </w:rPr>
        <w:t>Az árverési vevővel a Polgármester kö</w:t>
      </w:r>
      <w:r>
        <w:rPr>
          <w:rFonts w:ascii="Times New Roman" w:hAnsi="Times New Roman"/>
          <w:sz w:val="24"/>
          <w:szCs w:val="24"/>
        </w:rPr>
        <w:t>ti meg az adásvételi szerződést.</w:t>
      </w:r>
      <w:r w:rsidRPr="008B6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8B6A19">
        <w:rPr>
          <w:rFonts w:ascii="Times New Roman" w:hAnsi="Times New Roman"/>
          <w:sz w:val="24"/>
          <w:szCs w:val="24"/>
        </w:rPr>
        <w:t>nemzeti vagyonról szóló 2011. évi C</w:t>
      </w:r>
      <w:r>
        <w:rPr>
          <w:rFonts w:ascii="Times New Roman" w:hAnsi="Times New Roman"/>
          <w:sz w:val="24"/>
          <w:szCs w:val="24"/>
        </w:rPr>
        <w:t>XCVI. törvény 14. § (2) bekezdése szerint a</w:t>
      </w:r>
      <w:r w:rsidRPr="008B6A19">
        <w:rPr>
          <w:rFonts w:ascii="Times New Roman" w:hAnsi="Times New Roman"/>
          <w:sz w:val="24"/>
          <w:szCs w:val="24"/>
        </w:rPr>
        <w:t xml:space="preserve">z állam elővásárlási jogának gyakorlása érdekében szükséges eljárást a Polgármesteri Hivatal folytatja le azzal, hogy az </w:t>
      </w:r>
      <w:r>
        <w:rPr>
          <w:rFonts w:ascii="Times New Roman" w:hAnsi="Times New Roman"/>
          <w:sz w:val="24"/>
          <w:szCs w:val="24"/>
        </w:rPr>
        <w:t>aláírt adásvételi megállapodást</w:t>
      </w:r>
      <w:r w:rsidRPr="008B6A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megküldi </w:t>
      </w:r>
      <w:r w:rsidRPr="008B6A19">
        <w:rPr>
          <w:rFonts w:ascii="Times New Roman" w:hAnsi="Times New Roman"/>
          <w:sz w:val="24"/>
          <w:szCs w:val="24"/>
        </w:rPr>
        <w:t>az elővásárlási jog gyakorlására kijelölt sz</w:t>
      </w:r>
      <w:r>
        <w:rPr>
          <w:rFonts w:ascii="Times New Roman" w:hAnsi="Times New Roman"/>
          <w:sz w:val="24"/>
          <w:szCs w:val="24"/>
        </w:rPr>
        <w:t>ervnek. Az árverésen nyertes személlyel megkötött adásvételi szerződés</w:t>
      </w:r>
      <w:r w:rsidRPr="008B6A19">
        <w:rPr>
          <w:rFonts w:ascii="Times New Roman" w:hAnsi="Times New Roman"/>
          <w:sz w:val="24"/>
          <w:szCs w:val="24"/>
        </w:rPr>
        <w:t xml:space="preserve"> az elővásárlási jog gyakorlására jogosult szerv nemleges nyilatk</w:t>
      </w:r>
      <w:r>
        <w:rPr>
          <w:rFonts w:ascii="Times New Roman" w:hAnsi="Times New Roman"/>
          <w:sz w:val="24"/>
          <w:szCs w:val="24"/>
        </w:rPr>
        <w:t>ozatának kézhezvételét követő napon válik hatályossá</w:t>
      </w:r>
      <w:r w:rsidRPr="008B6A19">
        <w:rPr>
          <w:rFonts w:ascii="Times New Roman" w:hAnsi="Times New Roman"/>
          <w:sz w:val="24"/>
          <w:szCs w:val="24"/>
        </w:rPr>
        <w:t xml:space="preserve">. 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8.) Az árverésre kerülő ingatlan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bármikor megtekinthető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. Az adásvételi szerződésben feltüntetésre kerül, hogy az ingatlan megtekinte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t állapotban kerül értékesítésre.  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.) Az árverésre 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20. március 30., 16:00 óráig 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írásban jelentkezni. A jelentkezés benyújtásának helye: Százhalombattai Polgármesteri Hivatal (Szent István tér 3.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„B” épületszárny I. emelet 160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. sz. iroda)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Az ajánlatot zárt borítékban kell benyújtani, amelynek tartalmaznia kell: </w:t>
      </w:r>
    </w:p>
    <w:p w:rsidR="00551758" w:rsidRPr="008B6A19" w:rsidRDefault="00551758" w:rsidP="005517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a pályázó nevét, címét,</w:t>
      </w:r>
    </w:p>
    <w:p w:rsidR="00551758" w:rsidRPr="008B6A19" w:rsidRDefault="00551758" w:rsidP="005517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nyilatkozatot, mely szerint az Önkormányzattal szemben adó- vagy bérleti díj, illetve bármely önkormányzati tulajdonú bérlemény után közüzemi díj hátraléka nincs,</w:t>
      </w:r>
    </w:p>
    <w:p w:rsidR="00551758" w:rsidRPr="008B6A19" w:rsidRDefault="00551758" w:rsidP="005517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nyilatkozatot arról, hogy az árverési feltételeket elfogadja, és nyertesként hozzájárul neve nyilvánosságra hozatalához,</w:t>
      </w:r>
    </w:p>
    <w:p w:rsidR="00551758" w:rsidRPr="008B6A19" w:rsidRDefault="00551758" w:rsidP="005517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nyilatkozatot arról, hogy vállalja az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ingatlant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4 éven belüli beépítését, 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továbbá, hogy ennek nem teljesítése a szerződésben bontó feltételként érvényesül, és arról, hogy elfogadja azt a feltételt, mely szerint a beépítési kötelezettség teljesítésének biztosítéka érdekében az ingatlan-nyilvántartásba elidegenítési és terhelési tilalom kerül bejegyzésre, </w:t>
      </w:r>
    </w:p>
    <w:p w:rsidR="00551758" w:rsidRPr="008B6A19" w:rsidRDefault="00551758" w:rsidP="00551758">
      <w:pPr>
        <w:numPr>
          <w:ilvl w:val="0"/>
          <w:numId w:val="1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nyilatkozatot köztartozásmentességről, </w:t>
      </w:r>
    </w:p>
    <w:p w:rsidR="00551758" w:rsidRDefault="00551758" w:rsidP="00551758">
      <w:pPr>
        <w:numPr>
          <w:ilvl w:val="0"/>
          <w:numId w:val="1"/>
        </w:numPr>
        <w:tabs>
          <w:tab w:val="center" w:pos="709"/>
          <w:tab w:val="left" w:pos="4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B6A19">
        <w:rPr>
          <w:rFonts w:ascii="Times New Roman" w:hAnsi="Times New Roman"/>
          <w:sz w:val="24"/>
          <w:szCs w:val="24"/>
        </w:rPr>
        <w:t>nyilatkozatot arról, hogy legalább a kikiáltási ár erejéig rendelkezik a vételárral, és árverési előlegként a kikiáltási ár 10%-át a hirdetményben megjelölt módon és időben letétbe helyezte.</w:t>
      </w:r>
    </w:p>
    <w:p w:rsidR="00551758" w:rsidRDefault="00551758" w:rsidP="00551758">
      <w:pPr>
        <w:tabs>
          <w:tab w:val="center" w:pos="709"/>
          <w:tab w:val="left" w:pos="4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Default="00551758" w:rsidP="00551758">
      <w:pPr>
        <w:tabs>
          <w:tab w:val="center" w:pos="709"/>
          <w:tab w:val="left" w:pos="4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Hiánypótlásra van lehetőség, a hiánypótlásra rendelkezésre álló idő az értesítéstől számított 3 munkanap.</w:t>
      </w:r>
    </w:p>
    <w:p w:rsidR="00551758" w:rsidRDefault="00551758" w:rsidP="00551758">
      <w:pPr>
        <w:tabs>
          <w:tab w:val="center" w:pos="709"/>
          <w:tab w:val="left" w:pos="4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Default="00551758" w:rsidP="00551758">
      <w:pPr>
        <w:tabs>
          <w:tab w:val="center" w:pos="709"/>
          <w:tab w:val="left" w:pos="4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Default="00551758" w:rsidP="00551758">
      <w:pPr>
        <w:tabs>
          <w:tab w:val="center" w:pos="709"/>
          <w:tab w:val="left" w:pos="4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Default="00551758" w:rsidP="00551758">
      <w:pPr>
        <w:tabs>
          <w:tab w:val="center" w:pos="709"/>
          <w:tab w:val="left" w:pos="4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650C0" w:rsidRPr="00603AF5" w:rsidRDefault="007650C0" w:rsidP="00551758">
      <w:pPr>
        <w:tabs>
          <w:tab w:val="center" w:pos="709"/>
          <w:tab w:val="left" w:pos="47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0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.) 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Árverési előleg összege:             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Kikiáltási ár 10%-</w:t>
      </w:r>
      <w:proofErr w:type="gramStart"/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A letétbe helyezés módja</w:t>
      </w:r>
      <w:proofErr w:type="gramStart"/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         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Átutalás</w:t>
      </w:r>
      <w:proofErr w:type="gramEnd"/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Százhalombatta Város Önkormányzata </w:t>
      </w:r>
    </w:p>
    <w:p w:rsidR="00551758" w:rsidRPr="008B6A19" w:rsidRDefault="00551758" w:rsidP="00551758">
      <w:pPr>
        <w:spacing w:after="0" w:line="240" w:lineRule="auto"/>
        <w:ind w:left="3686" w:hanging="3686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ERSTE Bank Hungary </w:t>
      </w:r>
      <w:proofErr w:type="spellStart"/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ZRt</w:t>
      </w:r>
      <w:proofErr w:type="spellEnd"/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. százhalombattai fiókjánál        vezetett 11999007-03100013-00000000 számú számlára.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      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A letétbe helyezés határideje</w:t>
      </w:r>
      <w:proofErr w:type="gramStart"/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2020.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március 30.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Az árverési vevő letétje a vételárba beszámításra kerül. A többi letétbe helyező előlege az árverést követő 8 napon belül visszautalásra kerül.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.) Árverezni személyesen vagy meghatalmazás útján lehet.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.)</w:t>
      </w: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Vételár a nyilvános liciten licitlépcsők alkalmazásával kialakult legmagasabb ajánlati ár.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51758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b/>
          <w:sz w:val="24"/>
          <w:szCs w:val="24"/>
          <w:lang w:eastAsia="hu-HU"/>
        </w:rPr>
        <w:t>Az árverés nyertese az, aki az ingatlanért a legtöbbet ajánlja.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.) Az árverési vevő köteles a szerződést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haladéktalanul 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megkötni,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és a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 teljes vételárat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elővásárlási jog gyakorlására jogosult szerv nemleges nyilatkozatának kézhezvételétől számított 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8 napon belül megfizetni. Ha ezeknek nem tesz eleget, az előleget elveszíti és az árverést sikertelennek kell minősíteni.</w:t>
      </w:r>
    </w:p>
    <w:p w:rsidR="00551758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 xml:space="preserve">A szerződéskötéssel,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valamint </w:t>
      </w: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a tulajdonváltozással kapcsolatos ingatlan-nyilvántart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ási költségek a vevőt terhelik.</w:t>
      </w:r>
    </w:p>
    <w:p w:rsidR="00551758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B6A19">
        <w:rPr>
          <w:rFonts w:ascii="Times New Roman" w:eastAsia="Times New Roman" w:hAnsi="Times New Roman"/>
          <w:sz w:val="24"/>
          <w:szCs w:val="24"/>
          <w:lang w:eastAsia="hu-HU"/>
        </w:rPr>
        <w:t>Az árverés nyilvános, azon bárki részt vehet.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551758" w:rsidRDefault="00551758" w:rsidP="0055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19">
        <w:rPr>
          <w:rFonts w:ascii="Times New Roman" w:hAnsi="Times New Roman"/>
          <w:sz w:val="24"/>
          <w:szCs w:val="24"/>
        </w:rPr>
        <w:t>Az árverés egyéb feltételei tekintetében a Százhalombatta Város Önkormányzata versenyeztetésről szóló 18/2012. (XI. 06.) önkormányzati rendelet szerint kell eljárni</w:t>
      </w:r>
      <w:r>
        <w:rPr>
          <w:rFonts w:ascii="Times New Roman" w:hAnsi="Times New Roman"/>
          <w:sz w:val="24"/>
          <w:szCs w:val="24"/>
        </w:rPr>
        <w:t>.</w:t>
      </w:r>
    </w:p>
    <w:p w:rsidR="00551758" w:rsidRDefault="00551758" w:rsidP="0055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758" w:rsidRDefault="00551758" w:rsidP="0055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19">
        <w:rPr>
          <w:rFonts w:ascii="Times New Roman" w:hAnsi="Times New Roman"/>
          <w:sz w:val="24"/>
          <w:szCs w:val="24"/>
        </w:rPr>
        <w:t>Százhalombatta Város Önkormányzata fenntartja magának azt a jogot, hogy a versenyeztetési eljárást - akár indokolás nélkül is - eredménytelennek minősítse.</w:t>
      </w:r>
    </w:p>
    <w:p w:rsidR="00551758" w:rsidRDefault="00551758" w:rsidP="0055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758" w:rsidRPr="00CC0547" w:rsidRDefault="00551758" w:rsidP="0055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547">
        <w:rPr>
          <w:rFonts w:ascii="Times New Roman" w:hAnsi="Times New Roman"/>
          <w:sz w:val="24"/>
          <w:szCs w:val="24"/>
        </w:rPr>
        <w:t xml:space="preserve">Az árveréssel kapcsolatban bővebb felvilágosítást az érdeklődők a Százhalombattai </w:t>
      </w:r>
      <w:r>
        <w:rPr>
          <w:rFonts w:ascii="Times New Roman" w:hAnsi="Times New Roman"/>
          <w:sz w:val="24"/>
          <w:szCs w:val="24"/>
        </w:rPr>
        <w:t xml:space="preserve">Polgármesteri Hivatal Pénzügyi és Vagyongazdálkodási Irodáján </w:t>
      </w:r>
      <w:r w:rsidRPr="00CC054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2440 Százhalombatta, Szent István tér 3. B épület </w:t>
      </w:r>
      <w:r w:rsidRPr="00CC0547">
        <w:rPr>
          <w:rFonts w:ascii="Times New Roman" w:hAnsi="Times New Roman"/>
          <w:sz w:val="24"/>
          <w:szCs w:val="24"/>
        </w:rPr>
        <w:t xml:space="preserve">I. emelet </w:t>
      </w:r>
      <w:r>
        <w:rPr>
          <w:rFonts w:ascii="Times New Roman" w:hAnsi="Times New Roman"/>
          <w:sz w:val="24"/>
          <w:szCs w:val="24"/>
        </w:rPr>
        <w:t>160</w:t>
      </w:r>
      <w:r w:rsidRPr="00CC0547">
        <w:rPr>
          <w:rFonts w:ascii="Times New Roman" w:hAnsi="Times New Roman"/>
          <w:sz w:val="24"/>
          <w:szCs w:val="24"/>
        </w:rPr>
        <w:t>. sz. iroda, T</w:t>
      </w:r>
      <w:r>
        <w:rPr>
          <w:rFonts w:ascii="Times New Roman" w:hAnsi="Times New Roman"/>
          <w:sz w:val="24"/>
          <w:szCs w:val="24"/>
        </w:rPr>
        <w:t>el</w:t>
      </w:r>
      <w:r w:rsidRPr="00CC0547">
        <w:rPr>
          <w:rFonts w:ascii="Times New Roman" w:hAnsi="Times New Roman"/>
          <w:sz w:val="24"/>
          <w:szCs w:val="24"/>
        </w:rPr>
        <w:t>: 23/542-</w:t>
      </w:r>
      <w:r>
        <w:rPr>
          <w:rFonts w:ascii="Times New Roman" w:hAnsi="Times New Roman"/>
          <w:sz w:val="24"/>
          <w:szCs w:val="24"/>
        </w:rPr>
        <w:t>250</w:t>
      </w:r>
      <w:r w:rsidRPr="00CC054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Geszti Gabriella vagyongazdálkodási munkatárs</w:t>
      </w:r>
      <w:r w:rsidRPr="00CC0547">
        <w:rPr>
          <w:rFonts w:ascii="Times New Roman" w:hAnsi="Times New Roman"/>
          <w:sz w:val="24"/>
          <w:szCs w:val="24"/>
        </w:rPr>
        <w:t>tól kaphatnak.</w:t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19">
        <w:rPr>
          <w:rFonts w:ascii="Times New Roman" w:hAnsi="Times New Roman"/>
          <w:sz w:val="24"/>
          <w:szCs w:val="24"/>
        </w:rPr>
        <w:tab/>
      </w:r>
    </w:p>
    <w:p w:rsidR="00551758" w:rsidRPr="008B6A19" w:rsidRDefault="00551758" w:rsidP="00551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758" w:rsidRPr="008B6A19" w:rsidRDefault="00551758" w:rsidP="0055175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B6A19">
        <w:rPr>
          <w:rFonts w:ascii="Times New Roman" w:hAnsi="Times New Roman"/>
          <w:sz w:val="24"/>
          <w:szCs w:val="24"/>
        </w:rPr>
        <w:tab/>
      </w:r>
      <w:r w:rsidRPr="008B6A19">
        <w:rPr>
          <w:rFonts w:ascii="Times New Roman" w:hAnsi="Times New Roman"/>
          <w:sz w:val="24"/>
          <w:szCs w:val="24"/>
        </w:rPr>
        <w:tab/>
      </w:r>
      <w:r w:rsidRPr="008B6A19">
        <w:rPr>
          <w:rFonts w:ascii="Times New Roman" w:hAnsi="Times New Roman"/>
          <w:sz w:val="24"/>
          <w:szCs w:val="24"/>
        </w:rPr>
        <w:tab/>
      </w:r>
      <w:r w:rsidRPr="008B6A19">
        <w:rPr>
          <w:rFonts w:ascii="Times New Roman" w:hAnsi="Times New Roman"/>
          <w:sz w:val="24"/>
          <w:szCs w:val="24"/>
        </w:rPr>
        <w:tab/>
      </w:r>
      <w:r w:rsidRPr="008B6A19">
        <w:rPr>
          <w:rFonts w:ascii="Times New Roman" w:hAnsi="Times New Roman"/>
          <w:sz w:val="24"/>
          <w:szCs w:val="24"/>
        </w:rPr>
        <w:tab/>
      </w:r>
      <w:r w:rsidRPr="008B6A19">
        <w:rPr>
          <w:rFonts w:ascii="Times New Roman" w:hAnsi="Times New Roman"/>
          <w:sz w:val="24"/>
          <w:szCs w:val="24"/>
        </w:rPr>
        <w:tab/>
      </w:r>
      <w:r w:rsidRPr="008B6A19">
        <w:rPr>
          <w:rFonts w:ascii="Times New Roman" w:hAnsi="Times New Roman"/>
          <w:b/>
          <w:sz w:val="24"/>
          <w:szCs w:val="24"/>
        </w:rPr>
        <w:t xml:space="preserve">Százhalombatta Város Önkormányzata </w:t>
      </w:r>
    </w:p>
    <w:p w:rsidR="00551758" w:rsidRDefault="00551758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758" w:rsidRDefault="00551758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758" w:rsidRDefault="00551758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758" w:rsidRDefault="00551758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758" w:rsidRDefault="00551758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758" w:rsidRDefault="00551758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758" w:rsidRDefault="00551758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758" w:rsidRDefault="00551758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758" w:rsidRDefault="00551758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7C33" w:rsidRDefault="00667C33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758" w:rsidRDefault="00551758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1758" w:rsidRDefault="00551758" w:rsidP="00551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5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733E"/>
    <w:multiLevelType w:val="hybridMultilevel"/>
    <w:tmpl w:val="C144EC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58"/>
    <w:rsid w:val="004D52F9"/>
    <w:rsid w:val="00551758"/>
    <w:rsid w:val="00667C33"/>
    <w:rsid w:val="007650C0"/>
    <w:rsid w:val="00E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17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17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Brigitta</dc:creator>
  <cp:lastModifiedBy>geszti</cp:lastModifiedBy>
  <cp:revision>3</cp:revision>
  <dcterms:created xsi:type="dcterms:W3CDTF">2020-02-21T07:04:00Z</dcterms:created>
  <dcterms:modified xsi:type="dcterms:W3CDTF">2020-02-21T07:05:00Z</dcterms:modified>
</cp:coreProperties>
</file>